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62BE" w:rsidRDefault="00B178AB">
      <w:pPr>
        <w:ind w:firstLineChars="0" w:firstLine="0"/>
        <w:jc w:val="center"/>
        <w:rPr>
          <w:rFonts w:ascii="宋体" w:eastAsia="宋体" w:hAnsi="宋体" w:cs="宋体"/>
          <w:b/>
          <w:bCs/>
          <w:sz w:val="36"/>
          <w:szCs w:val="36"/>
        </w:rPr>
      </w:pPr>
      <w:bookmarkStart w:id="0" w:name="OLE_LINK2"/>
      <w:r>
        <w:rPr>
          <w:rFonts w:ascii="宋体" w:eastAsia="宋体" w:hAnsi="宋体" w:cs="宋体" w:hint="eastAsia"/>
          <w:b/>
          <w:bCs/>
          <w:sz w:val="36"/>
          <w:szCs w:val="36"/>
        </w:rPr>
        <w:t>医疗电子票据系统接口升级改造（跨省入账报销）</w:t>
      </w:r>
    </w:p>
    <w:bookmarkEnd w:id="0"/>
    <w:p w:rsidR="00D562BE" w:rsidRDefault="00B178AB">
      <w:pPr>
        <w:ind w:firstLineChars="0" w:firstLine="0"/>
        <w:jc w:val="center"/>
        <w:rPr>
          <w:rFonts w:ascii="宋体" w:eastAsia="宋体" w:hAnsi="宋体" w:cs="宋体"/>
          <w:b/>
          <w:bCs/>
          <w:sz w:val="36"/>
          <w:szCs w:val="36"/>
        </w:rPr>
      </w:pPr>
      <w:r>
        <w:rPr>
          <w:rFonts w:ascii="宋体" w:eastAsia="宋体" w:hAnsi="宋体" w:cs="宋体" w:hint="eastAsia"/>
          <w:b/>
          <w:bCs/>
          <w:sz w:val="36"/>
          <w:szCs w:val="36"/>
        </w:rPr>
        <w:t>技术参数</w:t>
      </w:r>
    </w:p>
    <w:p w:rsidR="00D562BE" w:rsidRDefault="00D562BE">
      <w:pPr>
        <w:ind w:firstLine="560"/>
        <w:rPr>
          <w:rFonts w:ascii="宋体" w:eastAsia="宋体" w:hAnsi="宋体" w:cs="宋体"/>
          <w:szCs w:val="28"/>
        </w:rPr>
      </w:pPr>
    </w:p>
    <w:p w:rsidR="00D562BE" w:rsidRDefault="00B178AB">
      <w:pPr>
        <w:pStyle w:val="1"/>
        <w:rPr>
          <w:rFonts w:ascii="宋体" w:eastAsia="宋体" w:hAnsi="宋体" w:cs="宋体"/>
        </w:rPr>
      </w:pPr>
      <w:r>
        <w:rPr>
          <w:rFonts w:ascii="宋体" w:eastAsia="宋体" w:hAnsi="宋体" w:cs="宋体" w:hint="eastAsia"/>
        </w:rPr>
        <w:t>项目概述</w:t>
      </w:r>
    </w:p>
    <w:p w:rsidR="00D562BE" w:rsidRDefault="00B178AB">
      <w:pPr>
        <w:pStyle w:val="2"/>
        <w:rPr>
          <w:rFonts w:ascii="宋体" w:eastAsia="宋体" w:hAnsi="宋体" w:cs="宋体"/>
        </w:rPr>
      </w:pPr>
      <w:r>
        <w:rPr>
          <w:rFonts w:ascii="宋体" w:eastAsia="宋体" w:hAnsi="宋体" w:cs="宋体" w:hint="eastAsia"/>
        </w:rPr>
        <w:t>建设背景</w:t>
      </w:r>
    </w:p>
    <w:p w:rsidR="00D562BE" w:rsidRDefault="00B178AB">
      <w:pPr>
        <w:ind w:firstLine="560"/>
        <w:rPr>
          <w:rFonts w:ascii="宋体" w:eastAsia="宋体" w:hAnsi="宋体" w:cs="宋体"/>
        </w:rPr>
      </w:pPr>
      <w:bookmarkStart w:id="1" w:name="OLE_LINK1"/>
      <w:r>
        <w:rPr>
          <w:rFonts w:ascii="宋体" w:eastAsia="宋体" w:hAnsi="宋体" w:cs="宋体" w:hint="eastAsia"/>
        </w:rPr>
        <w:t>为贯彻落实党中央、国务院推进数字政府建设的决策部署，切实做好财政电子票据社会化应用工作，根据《财政部关于修改</w:t>
      </w:r>
      <w:r>
        <w:rPr>
          <w:rFonts w:ascii="宋体" w:eastAsia="宋体" w:hAnsi="宋体" w:cs="宋体" w:hint="eastAsia"/>
        </w:rPr>
        <w:t>(</w:t>
      </w:r>
      <w:r>
        <w:rPr>
          <w:rFonts w:ascii="宋体" w:eastAsia="宋体" w:hAnsi="宋体" w:cs="宋体" w:hint="eastAsia"/>
        </w:rPr>
        <w:t>财政票据管理办法〉的决定》</w:t>
      </w:r>
      <w:r>
        <w:rPr>
          <w:rFonts w:ascii="宋体" w:eastAsia="宋体" w:hAnsi="宋体" w:cs="宋体" w:hint="eastAsia"/>
        </w:rPr>
        <w:t>(</w:t>
      </w:r>
      <w:r>
        <w:rPr>
          <w:rFonts w:ascii="宋体" w:eastAsia="宋体" w:hAnsi="宋体" w:cs="宋体" w:hint="eastAsia"/>
        </w:rPr>
        <w:t>财政部令第</w:t>
      </w:r>
      <w:r>
        <w:rPr>
          <w:rFonts w:ascii="宋体" w:eastAsia="宋体" w:hAnsi="宋体" w:cs="宋体" w:hint="eastAsia"/>
        </w:rPr>
        <w:t>104</w:t>
      </w:r>
      <w:r>
        <w:rPr>
          <w:rFonts w:ascii="宋体" w:eastAsia="宋体" w:hAnsi="宋体" w:cs="宋体" w:hint="eastAsia"/>
        </w:rPr>
        <w:t>号</w:t>
      </w:r>
      <w:r>
        <w:rPr>
          <w:rFonts w:ascii="宋体" w:eastAsia="宋体" w:hAnsi="宋体" w:cs="宋体" w:hint="eastAsia"/>
        </w:rPr>
        <w:t>)</w:t>
      </w:r>
      <w:r>
        <w:rPr>
          <w:rFonts w:ascii="宋体" w:eastAsia="宋体" w:hAnsi="宋体" w:cs="宋体" w:hint="eastAsia"/>
        </w:rPr>
        <w:t>《关于全面推行医疗收费电子票据管理改革的通知》</w:t>
      </w:r>
      <w:r>
        <w:rPr>
          <w:rFonts w:ascii="宋体" w:eastAsia="宋体" w:hAnsi="宋体" w:cs="宋体" w:hint="eastAsia"/>
        </w:rPr>
        <w:t>(</w:t>
      </w:r>
      <w:r>
        <w:rPr>
          <w:rFonts w:ascii="宋体" w:eastAsia="宋体" w:hAnsi="宋体" w:cs="宋体" w:hint="eastAsia"/>
        </w:rPr>
        <w:t>财综〔</w:t>
      </w:r>
      <w:r>
        <w:rPr>
          <w:rFonts w:ascii="宋体" w:eastAsia="宋体" w:hAnsi="宋体" w:cs="宋体" w:hint="eastAsia"/>
        </w:rPr>
        <w:t>2019</w:t>
      </w:r>
      <w:r>
        <w:rPr>
          <w:rFonts w:ascii="宋体" w:eastAsia="宋体" w:hAnsi="宋体" w:cs="宋体" w:hint="eastAsia"/>
        </w:rPr>
        <w:t>〕</w:t>
      </w:r>
      <w:r>
        <w:rPr>
          <w:rFonts w:ascii="宋体" w:eastAsia="宋体" w:hAnsi="宋体" w:cs="宋体" w:hint="eastAsia"/>
        </w:rPr>
        <w:t>29</w:t>
      </w:r>
      <w:r>
        <w:rPr>
          <w:rFonts w:ascii="宋体" w:eastAsia="宋体" w:hAnsi="宋体" w:cs="宋体" w:hint="eastAsia"/>
        </w:rPr>
        <w:t>号</w:t>
      </w:r>
      <w:r>
        <w:rPr>
          <w:rFonts w:ascii="宋体" w:eastAsia="宋体" w:hAnsi="宋体" w:cs="宋体" w:hint="eastAsia"/>
        </w:rPr>
        <w:t>)</w:t>
      </w:r>
      <w:r>
        <w:rPr>
          <w:rFonts w:ascii="宋体" w:eastAsia="宋体" w:hAnsi="宋体" w:cs="宋体" w:hint="eastAsia"/>
        </w:rPr>
        <w:t>等相关政策规定，财政部开展推进财政电子票据跨省报销试点工作。山东省作为第一批试点省份，医疗票据作为跨省入账报销重要票据之一，医院需要对现有医疗电子票据系统接口升级改造，支持并满足跨省入账报销的业务需要。</w:t>
      </w:r>
    </w:p>
    <w:bookmarkEnd w:id="1"/>
    <w:p w:rsidR="00D562BE" w:rsidRDefault="00B178AB">
      <w:pPr>
        <w:pStyle w:val="2"/>
        <w:rPr>
          <w:rFonts w:ascii="宋体" w:eastAsia="宋体" w:hAnsi="宋体" w:cs="宋体"/>
        </w:rPr>
      </w:pPr>
      <w:r>
        <w:rPr>
          <w:rFonts w:ascii="宋体" w:eastAsia="宋体" w:hAnsi="宋体" w:cs="宋体" w:hint="eastAsia"/>
        </w:rPr>
        <w:t>建设目标</w:t>
      </w:r>
    </w:p>
    <w:p w:rsidR="00D562BE" w:rsidRDefault="00B178AB">
      <w:pPr>
        <w:ind w:firstLine="560"/>
        <w:rPr>
          <w:rFonts w:ascii="宋体" w:eastAsia="宋体" w:hAnsi="宋体" w:cs="宋体"/>
        </w:rPr>
      </w:pPr>
      <w:r>
        <w:rPr>
          <w:rFonts w:ascii="宋体" w:eastAsia="宋体" w:hAnsi="宋体" w:cs="宋体" w:hint="eastAsia"/>
        </w:rPr>
        <w:t>本项目旨在按照财政部《跨省报销票据技术方案》中的相关要求，对现有医疗电子票据系统接口升级改造，包括适配升级医疗电子票据开票接口，增加冲红锁定、报销状态查询和把控等功能，支撑跨省入账报销。</w:t>
      </w:r>
    </w:p>
    <w:p w:rsidR="00D562BE" w:rsidRDefault="00B178AB">
      <w:pPr>
        <w:pStyle w:val="1"/>
        <w:rPr>
          <w:rFonts w:ascii="宋体" w:eastAsia="宋体" w:hAnsi="宋体" w:cs="宋体"/>
        </w:rPr>
      </w:pPr>
      <w:r>
        <w:rPr>
          <w:rFonts w:ascii="宋体" w:eastAsia="宋体" w:hAnsi="宋体" w:cs="宋体" w:hint="eastAsia"/>
        </w:rPr>
        <w:lastRenderedPageBreak/>
        <w:t>建设内容和要求</w:t>
      </w:r>
    </w:p>
    <w:p w:rsidR="00D562BE" w:rsidRDefault="00B178AB">
      <w:pPr>
        <w:pStyle w:val="2"/>
        <w:rPr>
          <w:rFonts w:ascii="宋体" w:eastAsia="宋体" w:hAnsi="宋体" w:cs="宋体"/>
        </w:rPr>
      </w:pPr>
      <w:bookmarkStart w:id="2" w:name="_Hlk206685668"/>
      <w:r>
        <w:rPr>
          <w:rFonts w:ascii="宋体" w:eastAsia="宋体" w:hAnsi="宋体" w:cs="宋体" w:hint="eastAsia"/>
        </w:rPr>
        <w:t>冲红控制及电子票据报销查询</w:t>
      </w:r>
    </w:p>
    <w:p w:rsidR="00D562BE" w:rsidRDefault="00B178AB">
      <w:pPr>
        <w:pStyle w:val="3"/>
      </w:pPr>
      <w:r>
        <w:rPr>
          <w:rFonts w:hint="eastAsia"/>
        </w:rPr>
        <w:t>票据冲红锁定</w:t>
      </w:r>
    </w:p>
    <w:p w:rsidR="00D562BE" w:rsidRDefault="00B178AB">
      <w:pPr>
        <w:ind w:firstLine="560"/>
        <w:rPr>
          <w:rFonts w:ascii="宋体" w:eastAsia="宋体" w:hAnsi="宋体" w:cs="宋体"/>
        </w:rPr>
      </w:pPr>
      <w:r>
        <w:rPr>
          <w:rFonts w:ascii="宋体" w:eastAsia="宋体" w:hAnsi="宋体" w:cs="宋体" w:hint="eastAsia"/>
        </w:rPr>
        <w:t>为防止恶意冲红行为，当业务系统发起票据冲红时，医疗电子票据系统在技术上增加冲红锁定和冲红解锁两个状态。</w:t>
      </w:r>
    </w:p>
    <w:p w:rsidR="00D562BE" w:rsidRDefault="00B178AB">
      <w:pPr>
        <w:pStyle w:val="3"/>
      </w:pPr>
      <w:r>
        <w:rPr>
          <w:rFonts w:hint="eastAsia"/>
        </w:rPr>
        <w:t>票据报销状态查询接口</w:t>
      </w:r>
    </w:p>
    <w:p w:rsidR="00D562BE" w:rsidRDefault="00B178AB">
      <w:pPr>
        <w:ind w:firstLine="560"/>
        <w:rPr>
          <w:rFonts w:ascii="宋体" w:eastAsia="宋体" w:hAnsi="宋体" w:cs="宋体"/>
        </w:rPr>
      </w:pPr>
      <w:r>
        <w:rPr>
          <w:rFonts w:ascii="宋体" w:eastAsia="宋体" w:hAnsi="宋体" w:cs="宋体" w:hint="eastAsia"/>
        </w:rPr>
        <w:t>医疗电子票据系统需对接财政公共服务平台，获取电子票据报销状态，以便于系统判断是否可进行退费。</w:t>
      </w:r>
    </w:p>
    <w:p w:rsidR="00D562BE" w:rsidRDefault="00B178AB">
      <w:pPr>
        <w:pStyle w:val="3"/>
      </w:pPr>
      <w:r>
        <w:rPr>
          <w:rFonts w:hint="eastAsia"/>
        </w:rPr>
        <w:t>票据报销详情接口</w:t>
      </w:r>
    </w:p>
    <w:p w:rsidR="00D562BE" w:rsidRDefault="00B178AB">
      <w:pPr>
        <w:ind w:firstLine="560"/>
        <w:rPr>
          <w:rFonts w:ascii="宋体" w:eastAsia="宋体" w:hAnsi="宋体" w:cs="宋体"/>
        </w:rPr>
      </w:pPr>
      <w:r>
        <w:rPr>
          <w:rFonts w:ascii="宋体" w:eastAsia="宋体" w:hAnsi="宋体" w:cs="宋体" w:hint="eastAsia"/>
        </w:rPr>
        <w:t>在票据所有人授权</w:t>
      </w:r>
      <w:r>
        <w:rPr>
          <w:rFonts w:ascii="宋体" w:eastAsia="宋体" w:hAnsi="宋体" w:cs="宋体" w:hint="eastAsia"/>
        </w:rPr>
        <w:t>后，通过接口查询财政公共服务平台，获取票据报销详情会计凭证号、报销日期、报销总金额、报销单位等信息，以便于更详尽的了解票据报销情况。</w:t>
      </w:r>
    </w:p>
    <w:p w:rsidR="00D562BE" w:rsidRDefault="00B178AB">
      <w:pPr>
        <w:pStyle w:val="2"/>
        <w:rPr>
          <w:rFonts w:ascii="宋体" w:eastAsia="宋体" w:hAnsi="宋体" w:cs="宋体"/>
        </w:rPr>
      </w:pPr>
      <w:r>
        <w:rPr>
          <w:rFonts w:ascii="宋体" w:eastAsia="宋体" w:hAnsi="宋体" w:cs="宋体" w:hint="eastAsia"/>
        </w:rPr>
        <w:t>电子票据数据规范适配</w:t>
      </w:r>
    </w:p>
    <w:p w:rsidR="00D562BE" w:rsidRDefault="00B178AB">
      <w:pPr>
        <w:ind w:firstLine="560"/>
        <w:rPr>
          <w:rFonts w:ascii="宋体" w:eastAsia="宋体" w:hAnsi="宋体" w:cs="宋体"/>
        </w:rPr>
      </w:pPr>
      <w:r>
        <w:rPr>
          <w:rFonts w:ascii="宋体" w:eastAsia="宋体" w:hAnsi="宋体" w:cs="宋体" w:hint="eastAsia"/>
        </w:rPr>
        <w:t>结合《财政电子票据数据规范》最新标准，以及保证入账报销的业务需要，报销单位（如商保公司、其他保险机构或财务部门）需要更多细节来支持其报销流程和风险控制，则需要对现有电子票据系统的数据字段进行增加和优化。</w:t>
      </w:r>
    </w:p>
    <w:p w:rsidR="00D562BE" w:rsidRDefault="00B178AB">
      <w:pPr>
        <w:ind w:firstLine="560"/>
        <w:rPr>
          <w:rFonts w:ascii="宋体" w:eastAsia="宋体" w:hAnsi="宋体" w:cs="宋体"/>
        </w:rPr>
      </w:pPr>
      <w:r>
        <w:rPr>
          <w:rFonts w:ascii="宋体" w:eastAsia="宋体" w:hAnsi="宋体" w:cs="宋体" w:hint="eastAsia"/>
        </w:rPr>
        <w:t>对医疗电子票据开具接口进行升级，包括门诊、住院、挂号、体</w:t>
      </w:r>
      <w:r>
        <w:rPr>
          <w:rFonts w:ascii="宋体" w:eastAsia="宋体" w:hAnsi="宋体" w:cs="宋体" w:hint="eastAsia"/>
        </w:rPr>
        <w:lastRenderedPageBreak/>
        <w:t>检等。</w:t>
      </w:r>
    </w:p>
    <w:p w:rsidR="00D562BE" w:rsidRDefault="00B178AB">
      <w:pPr>
        <w:pStyle w:val="3"/>
      </w:pPr>
      <w:r>
        <w:rPr>
          <w:rFonts w:hint="eastAsia"/>
        </w:rPr>
        <w:t>医疗门诊电子票据接口升级</w:t>
      </w:r>
    </w:p>
    <w:p w:rsidR="00D562BE" w:rsidRDefault="00B178AB">
      <w:pPr>
        <w:ind w:firstLine="560"/>
        <w:rPr>
          <w:rFonts w:ascii="宋体" w:eastAsia="宋体" w:hAnsi="宋体" w:cs="宋体"/>
        </w:rPr>
      </w:pPr>
      <w:r>
        <w:rPr>
          <w:rFonts w:ascii="宋体" w:eastAsia="宋体" w:hAnsi="宋体" w:cs="宋体" w:hint="eastAsia"/>
        </w:rPr>
        <w:t>升级原先医疗门诊电子票据开具接口，获取新增的医疗门诊票据字段信</w:t>
      </w:r>
      <w:r>
        <w:rPr>
          <w:rFonts w:ascii="宋体" w:eastAsia="宋体" w:hAnsi="宋体" w:cs="宋体" w:hint="eastAsia"/>
        </w:rPr>
        <w:t>息，并增加部分需要必填的字段校验，以便于在门诊费用结算时调用。</w:t>
      </w:r>
    </w:p>
    <w:p w:rsidR="00D562BE" w:rsidRDefault="00B178AB">
      <w:pPr>
        <w:pStyle w:val="3"/>
      </w:pPr>
      <w:r>
        <w:rPr>
          <w:rFonts w:hint="eastAsia"/>
        </w:rPr>
        <w:t>医疗住院电子票据接口升级</w:t>
      </w:r>
    </w:p>
    <w:p w:rsidR="00D562BE" w:rsidRDefault="00B178AB">
      <w:pPr>
        <w:ind w:firstLine="560"/>
        <w:rPr>
          <w:rFonts w:ascii="宋体" w:eastAsia="宋体" w:hAnsi="宋体" w:cs="宋体"/>
        </w:rPr>
      </w:pPr>
      <w:r>
        <w:rPr>
          <w:rFonts w:ascii="宋体" w:eastAsia="宋体" w:hAnsi="宋体" w:cs="宋体" w:hint="eastAsia"/>
        </w:rPr>
        <w:t>升级原有医疗住院电子票据开具接口，获取新增的医疗住院票据字段信息，并增加部分需要必填的字段校验，在住院费用结算时调用。</w:t>
      </w:r>
    </w:p>
    <w:p w:rsidR="00D562BE" w:rsidRDefault="00B178AB">
      <w:pPr>
        <w:pStyle w:val="3"/>
      </w:pPr>
      <w:r>
        <w:rPr>
          <w:rFonts w:hint="eastAsia"/>
        </w:rPr>
        <w:t>医疗挂号电子票据接口升级</w:t>
      </w:r>
    </w:p>
    <w:p w:rsidR="00D562BE" w:rsidRDefault="00B178AB">
      <w:pPr>
        <w:ind w:firstLine="560"/>
        <w:rPr>
          <w:rFonts w:ascii="宋体" w:eastAsia="宋体" w:hAnsi="宋体" w:cs="宋体"/>
        </w:rPr>
      </w:pPr>
      <w:r>
        <w:rPr>
          <w:rFonts w:ascii="宋体" w:eastAsia="宋体" w:hAnsi="宋体" w:cs="宋体" w:hint="eastAsia"/>
        </w:rPr>
        <w:t>升级原有医疗住院电子票据开具接口，获取新增的挂号票据字段信息，并增加部分需要必填的字段校验，在挂号费用结算时调用。</w:t>
      </w:r>
    </w:p>
    <w:p w:rsidR="00D562BE" w:rsidRDefault="00B178AB">
      <w:pPr>
        <w:pStyle w:val="3"/>
      </w:pPr>
      <w:r>
        <w:rPr>
          <w:rFonts w:hint="eastAsia"/>
        </w:rPr>
        <w:t>医疗体检电子票据接口升级</w:t>
      </w:r>
    </w:p>
    <w:p w:rsidR="00D562BE" w:rsidRDefault="00B178AB">
      <w:pPr>
        <w:ind w:firstLine="560"/>
        <w:rPr>
          <w:rFonts w:ascii="宋体" w:eastAsia="宋体" w:hAnsi="宋体" w:cs="宋体"/>
        </w:rPr>
      </w:pPr>
      <w:r>
        <w:rPr>
          <w:rFonts w:ascii="宋体" w:eastAsia="宋体" w:hAnsi="宋体" w:cs="宋体" w:hint="eastAsia"/>
        </w:rPr>
        <w:t>升级原有医疗住院电子票据开具接口，获取新增的体检票据字段信息，并增加部分需要必填的字段校验，在体检费用结算时调用。</w:t>
      </w:r>
    </w:p>
    <w:p w:rsidR="00D562BE" w:rsidRDefault="00B178AB">
      <w:pPr>
        <w:pStyle w:val="3"/>
      </w:pPr>
      <w:r>
        <w:rPr>
          <w:rFonts w:hint="eastAsia"/>
        </w:rPr>
        <w:t>签名原文封装</w:t>
      </w:r>
    </w:p>
    <w:p w:rsidR="00D562BE" w:rsidRDefault="00B178AB">
      <w:pPr>
        <w:ind w:firstLine="560"/>
        <w:rPr>
          <w:rFonts w:ascii="宋体" w:eastAsia="宋体" w:hAnsi="宋体" w:cs="宋体"/>
        </w:rPr>
      </w:pPr>
      <w:r>
        <w:rPr>
          <w:rFonts w:ascii="宋体" w:eastAsia="宋体" w:hAnsi="宋体" w:cs="宋体" w:hint="eastAsia"/>
        </w:rPr>
        <w:t>系统需按照财政电子票据数据规范，完成电子票据签名原文封装、上报财政监制等。</w:t>
      </w:r>
    </w:p>
    <w:bookmarkEnd w:id="2"/>
    <w:p w:rsidR="00D562BE" w:rsidRDefault="00B178AB">
      <w:pPr>
        <w:pStyle w:val="1"/>
        <w:rPr>
          <w:rFonts w:ascii="宋体" w:eastAsia="宋体" w:hAnsi="宋体" w:cs="宋体"/>
        </w:rPr>
      </w:pPr>
      <w:r>
        <w:rPr>
          <w:rFonts w:ascii="宋体" w:eastAsia="宋体" w:hAnsi="宋体" w:cs="宋体" w:hint="eastAsia"/>
        </w:rPr>
        <w:lastRenderedPageBreak/>
        <w:t>实施时间、实施地点及验收方式</w:t>
      </w:r>
    </w:p>
    <w:p w:rsidR="00D562BE" w:rsidRDefault="00B178AB">
      <w:pPr>
        <w:ind w:firstLine="560"/>
        <w:rPr>
          <w:rFonts w:ascii="宋体" w:eastAsia="宋体" w:hAnsi="宋体" w:cs="宋体"/>
        </w:rPr>
      </w:pPr>
      <w:bookmarkStart w:id="3" w:name="_Hlk193208186"/>
      <w:r>
        <w:rPr>
          <w:rFonts w:ascii="宋体" w:eastAsia="宋体" w:hAnsi="宋体" w:cs="宋体" w:hint="eastAsia"/>
        </w:rPr>
        <w:t>服务地点：</w:t>
      </w:r>
      <w:r>
        <w:rPr>
          <w:rFonts w:ascii="宋体" w:eastAsia="宋体" w:hAnsi="宋体" w:cs="宋体" w:hint="eastAsia"/>
        </w:rPr>
        <w:t>枣庄市立医院</w:t>
      </w:r>
      <w:bookmarkStart w:id="4" w:name="_GoBack"/>
      <w:bookmarkEnd w:id="4"/>
      <w:r>
        <w:rPr>
          <w:rFonts w:ascii="宋体" w:eastAsia="宋体" w:hAnsi="宋体" w:cs="宋体" w:hint="eastAsia"/>
        </w:rPr>
        <w:t>。</w:t>
      </w:r>
    </w:p>
    <w:p w:rsidR="00D562BE" w:rsidRDefault="00B178AB">
      <w:pPr>
        <w:ind w:firstLine="560"/>
        <w:rPr>
          <w:rFonts w:ascii="宋体" w:eastAsia="宋体" w:hAnsi="宋体" w:cs="宋体"/>
        </w:rPr>
      </w:pPr>
      <w:r>
        <w:rPr>
          <w:rFonts w:ascii="宋体" w:eastAsia="宋体" w:hAnsi="宋体" w:cs="宋体" w:hint="eastAsia"/>
        </w:rPr>
        <w:t>交付时间：合同签订之日起</w:t>
      </w:r>
      <w:r>
        <w:rPr>
          <w:rFonts w:ascii="宋体" w:eastAsia="宋体" w:hAnsi="宋体" w:cs="宋体" w:hint="eastAsia"/>
        </w:rPr>
        <w:t>15</w:t>
      </w:r>
      <w:r>
        <w:rPr>
          <w:rFonts w:ascii="宋体" w:eastAsia="宋体" w:hAnsi="宋体" w:cs="宋体" w:hint="eastAsia"/>
        </w:rPr>
        <w:t>个</w:t>
      </w:r>
      <w:r>
        <w:rPr>
          <w:rFonts w:ascii="宋体" w:eastAsia="宋体" w:hAnsi="宋体" w:cs="宋体" w:hint="eastAsia"/>
        </w:rPr>
        <w:t>工作日内完成开发、接口联调、试运行并测试合格、交付使用。</w:t>
      </w:r>
    </w:p>
    <w:p w:rsidR="00D562BE" w:rsidRDefault="00B178AB">
      <w:pPr>
        <w:pStyle w:val="1"/>
        <w:rPr>
          <w:rFonts w:ascii="宋体" w:eastAsia="宋体" w:hAnsi="宋体" w:cs="宋体"/>
        </w:rPr>
      </w:pPr>
      <w:bookmarkStart w:id="5" w:name="_Hlk206686357"/>
      <w:bookmarkEnd w:id="3"/>
      <w:r>
        <w:rPr>
          <w:rFonts w:ascii="宋体" w:eastAsia="宋体" w:hAnsi="宋体" w:cs="宋体" w:hint="eastAsia"/>
        </w:rPr>
        <w:t>培训要求</w:t>
      </w:r>
    </w:p>
    <w:p w:rsidR="00D562BE" w:rsidRDefault="00D562BE">
      <w:pPr>
        <w:pStyle w:val="a6"/>
        <w:numPr>
          <w:ilvl w:val="0"/>
          <w:numId w:val="2"/>
        </w:numPr>
        <w:tabs>
          <w:tab w:val="left" w:pos="993"/>
        </w:tabs>
        <w:spacing w:line="480" w:lineRule="exact"/>
        <w:ind w:firstLineChars="0"/>
        <w:rPr>
          <w:rFonts w:ascii="宋体" w:eastAsia="宋体" w:hAnsi="宋体" w:cs="宋体"/>
          <w:vanish/>
          <w:sz w:val="24"/>
          <w:szCs w:val="28"/>
        </w:rPr>
      </w:pPr>
    </w:p>
    <w:p w:rsidR="00D562BE" w:rsidRDefault="00B178AB">
      <w:pPr>
        <w:ind w:firstLine="560"/>
        <w:rPr>
          <w:rFonts w:ascii="宋体" w:eastAsia="宋体" w:hAnsi="宋体" w:cs="宋体"/>
        </w:rPr>
      </w:pPr>
      <w:r>
        <w:rPr>
          <w:rFonts w:ascii="宋体" w:eastAsia="宋体" w:hAnsi="宋体" w:cs="宋体" w:hint="eastAsia"/>
        </w:rPr>
        <w:t>供应商需为采购人</w:t>
      </w:r>
      <w:bookmarkStart w:id="6" w:name="_Hlk193209573"/>
      <w:r>
        <w:rPr>
          <w:rFonts w:ascii="宋体" w:eastAsia="宋体" w:hAnsi="宋体" w:cs="宋体" w:hint="eastAsia"/>
        </w:rPr>
        <w:t>提供系统的操作、使用及维护的技术培训服务。</w:t>
      </w:r>
      <w:bookmarkEnd w:id="6"/>
    </w:p>
    <w:p w:rsidR="00D562BE" w:rsidRDefault="00B178AB">
      <w:pPr>
        <w:pStyle w:val="1"/>
        <w:rPr>
          <w:rFonts w:ascii="宋体" w:eastAsia="宋体" w:hAnsi="宋体" w:cs="宋体"/>
        </w:rPr>
      </w:pPr>
      <w:bookmarkStart w:id="7" w:name="OLE_LINK6"/>
      <w:bookmarkEnd w:id="5"/>
      <w:r>
        <w:rPr>
          <w:rFonts w:ascii="宋体" w:eastAsia="宋体" w:hAnsi="宋体" w:cs="宋体" w:hint="eastAsia"/>
        </w:rPr>
        <w:t>运维保障</w:t>
      </w:r>
    </w:p>
    <w:p w:rsidR="00D562BE" w:rsidRDefault="00B178AB">
      <w:pPr>
        <w:ind w:firstLine="560"/>
        <w:rPr>
          <w:rFonts w:ascii="宋体" w:eastAsia="宋体" w:hAnsi="宋体" w:cs="宋体"/>
          <w:szCs w:val="28"/>
        </w:rPr>
      </w:pPr>
      <w:bookmarkStart w:id="8" w:name="OLE_LINK3"/>
      <w:bookmarkEnd w:id="7"/>
      <w:r>
        <w:rPr>
          <w:rFonts w:ascii="宋体" w:eastAsia="宋体" w:hAnsi="宋体" w:cs="宋体" w:hint="eastAsia"/>
        </w:rPr>
        <w:t>系统运行需配套建立</w:t>
      </w:r>
      <w:r>
        <w:rPr>
          <w:rFonts w:ascii="宋体" w:eastAsia="宋体" w:hAnsi="宋体" w:cs="宋体" w:hint="eastAsia"/>
        </w:rPr>
        <w:t>7</w:t>
      </w:r>
      <w:r>
        <w:rPr>
          <w:rFonts w:ascii="宋体" w:eastAsia="宋体" w:hAnsi="宋体" w:cs="宋体" w:hint="eastAsia"/>
        </w:rPr>
        <w:t>×</w:t>
      </w:r>
      <w:r>
        <w:rPr>
          <w:rFonts w:ascii="宋体" w:eastAsia="宋体" w:hAnsi="宋体" w:cs="宋体" w:hint="eastAsia"/>
        </w:rPr>
        <w:t xml:space="preserve">24 </w:t>
      </w:r>
      <w:r>
        <w:rPr>
          <w:rFonts w:ascii="宋体" w:eastAsia="宋体" w:hAnsi="宋体" w:cs="宋体" w:hint="eastAsia"/>
        </w:rPr>
        <w:t>小时运行保障体系加以支撑，以保障系统全时间段无故障不间断正常运转。</w:t>
      </w:r>
      <w:r>
        <w:rPr>
          <w:rFonts w:ascii="宋体" w:eastAsia="宋体" w:hAnsi="宋体" w:cs="宋体" w:hint="eastAsia"/>
        </w:rPr>
        <w:t>7</w:t>
      </w:r>
      <w:r>
        <w:rPr>
          <w:rFonts w:ascii="宋体" w:eastAsia="宋体" w:hAnsi="宋体" w:cs="宋体" w:hint="eastAsia"/>
        </w:rPr>
        <w:t>×</w:t>
      </w:r>
      <w:r>
        <w:rPr>
          <w:rFonts w:ascii="宋体" w:eastAsia="宋体" w:hAnsi="宋体" w:cs="宋体" w:hint="eastAsia"/>
        </w:rPr>
        <w:t xml:space="preserve">24 </w:t>
      </w:r>
      <w:r>
        <w:rPr>
          <w:rFonts w:ascii="宋体" w:eastAsia="宋体" w:hAnsi="宋体" w:cs="宋体" w:hint="eastAsia"/>
        </w:rPr>
        <w:t>小时运行保障服务指建立</w:t>
      </w:r>
      <w:r>
        <w:rPr>
          <w:rFonts w:ascii="宋体" w:eastAsia="宋体" w:hAnsi="宋体" w:cs="宋体" w:hint="eastAsia"/>
        </w:rPr>
        <w:t>7</w:t>
      </w:r>
      <w:r>
        <w:rPr>
          <w:rFonts w:ascii="宋体" w:eastAsia="宋体" w:hAnsi="宋体" w:cs="宋体" w:hint="eastAsia"/>
        </w:rPr>
        <w:t>×</w:t>
      </w:r>
      <w:r>
        <w:rPr>
          <w:rFonts w:ascii="宋体" w:eastAsia="宋体" w:hAnsi="宋体" w:cs="宋体" w:hint="eastAsia"/>
        </w:rPr>
        <w:t xml:space="preserve">24 </w:t>
      </w:r>
      <w:r>
        <w:rPr>
          <w:rFonts w:ascii="宋体" w:eastAsia="宋体" w:hAnsi="宋体" w:cs="宋体" w:hint="eastAsia"/>
        </w:rPr>
        <w:t>小时运行保障体系，并提供与之配套的服务，具体包括：成交供应商设立服务热线，提供</w:t>
      </w:r>
      <w:r>
        <w:rPr>
          <w:rFonts w:ascii="宋体" w:eastAsia="宋体" w:hAnsi="宋体" w:cs="宋体" w:hint="eastAsia"/>
        </w:rPr>
        <w:t>7</w:t>
      </w:r>
      <w:r>
        <w:rPr>
          <w:rFonts w:ascii="宋体" w:eastAsia="宋体" w:hAnsi="宋体" w:cs="宋体" w:hint="eastAsia"/>
        </w:rPr>
        <w:t>×</w:t>
      </w:r>
      <w:r>
        <w:rPr>
          <w:rFonts w:ascii="宋体" w:eastAsia="宋体" w:hAnsi="宋体" w:cs="宋体" w:hint="eastAsia"/>
        </w:rPr>
        <w:t xml:space="preserve">24 </w:t>
      </w:r>
      <w:r>
        <w:rPr>
          <w:rFonts w:ascii="宋体" w:eastAsia="宋体" w:hAnsi="宋体" w:cs="宋体" w:hint="eastAsia"/>
        </w:rPr>
        <w:t>小时电话、网上客服、电子邮件响应和解答等前台服务。成交供应商安排具备运行保障能力的工程师提供后台技术支撑服务，前台无法处理的事件及时交于后台处理。一般故障半小时内排除，重大故障</w:t>
      </w:r>
      <w:r>
        <w:rPr>
          <w:rFonts w:ascii="宋体" w:eastAsia="宋体" w:hAnsi="宋体" w:cs="宋体" w:hint="eastAsia"/>
        </w:rPr>
        <w:t>2</w:t>
      </w:r>
      <w:r>
        <w:rPr>
          <w:rFonts w:ascii="宋体" w:eastAsia="宋体" w:hAnsi="宋体" w:cs="宋体" w:hint="eastAsia"/>
        </w:rPr>
        <w:t>小时内排除，如若不能远程解决，须提供临时方案保障医院的正常运行，并在</w:t>
      </w:r>
      <w:r>
        <w:rPr>
          <w:rFonts w:ascii="宋体" w:eastAsia="宋体" w:hAnsi="宋体" w:cs="宋体" w:hint="eastAsia"/>
        </w:rPr>
        <w:t>8</w:t>
      </w:r>
      <w:r>
        <w:rPr>
          <w:rFonts w:ascii="宋体" w:eastAsia="宋体" w:hAnsi="宋体" w:cs="宋体" w:hint="eastAsia"/>
        </w:rPr>
        <w:t>小时内到达现场进行处理。成交供应商应向采购人承诺针对其提供的所有产品进行免费维护和缺陷修复，并根据采购人需求提供对产品的免费修改、补充、完善和升级服务。</w:t>
      </w:r>
      <w:bookmarkEnd w:id="8"/>
    </w:p>
    <w:sectPr w:rsidR="00D562BE" w:rsidSect="00D562BE">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178AB" w:rsidRDefault="00B178AB">
      <w:pPr>
        <w:ind w:firstLine="560"/>
      </w:pPr>
      <w:r>
        <w:separator/>
      </w:r>
    </w:p>
  </w:endnote>
  <w:endnote w:type="continuationSeparator" w:id="0">
    <w:p w:rsidR="00B178AB" w:rsidRDefault="00B178AB">
      <w:pPr>
        <w:ind w:firstLine="56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微软雅黑">
    <w:panose1 w:val="020B0503020204020204"/>
    <w:charset w:val="86"/>
    <w:family w:val="swiss"/>
    <w:pitch w:val="variable"/>
    <w:sig w:usb0="80000287" w:usb1="280F3C52" w:usb2="00000016" w:usb3="00000000" w:csb0="0004001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Ligh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62BE" w:rsidRDefault="00D562BE">
    <w:pPr>
      <w:pStyle w:val="a4"/>
      <w:ind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62BE" w:rsidRDefault="00D562BE">
    <w:pPr>
      <w:pStyle w:val="a4"/>
      <w:ind w:firstLine="360"/>
    </w:pPr>
    <w:r>
      <w:pict>
        <v:shapetype id="_x0000_t202" coordsize="21600,21600" o:spt="202" path="m,l,21600r21600,l21600,xe">
          <v:stroke joinstyle="miter"/>
          <v:path gradientshapeok="t" o:connecttype="rect"/>
        </v:shapetype>
        <v:shape id="_x0000_s1026" type="#_x0000_t202" style="position:absolute;left:0;text-align:left;margin-left:0;margin-top:0;width:2in;height:2in;z-index:251659264;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filled="f" stroked="f" strokeweight=".5pt">
          <v:textbox style="mso-fit-shape-to-text:t" inset="0,0,0,0">
            <w:txbxContent>
              <w:p w:rsidR="00D562BE" w:rsidRDefault="00D562BE">
                <w:pPr>
                  <w:pStyle w:val="a4"/>
                  <w:ind w:firstLine="360"/>
                </w:pPr>
                <w:r>
                  <w:fldChar w:fldCharType="begin"/>
                </w:r>
                <w:r w:rsidR="00B178AB">
                  <w:instrText xml:space="preserve"> PAGE  \* MERGEFORMAT </w:instrText>
                </w:r>
                <w:r>
                  <w:fldChar w:fldCharType="separate"/>
                </w:r>
                <w:r w:rsidR="00363173">
                  <w:rPr>
                    <w:noProof/>
                  </w:rPr>
                  <w:t>3</w:t>
                </w:r>
                <w:r>
                  <w:fldChar w:fldCharType="end"/>
                </w:r>
              </w:p>
            </w:txbxContent>
          </v:textbox>
          <w10:wrap anchorx="margin"/>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62BE" w:rsidRDefault="00D562BE">
    <w:pPr>
      <w:pStyle w:val="a4"/>
      <w:ind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178AB" w:rsidRDefault="00B178AB">
      <w:pPr>
        <w:ind w:firstLine="560"/>
      </w:pPr>
      <w:r>
        <w:separator/>
      </w:r>
    </w:p>
  </w:footnote>
  <w:footnote w:type="continuationSeparator" w:id="0">
    <w:p w:rsidR="00B178AB" w:rsidRDefault="00B178AB">
      <w:pPr>
        <w:ind w:firstLine="56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62BE" w:rsidRDefault="00D562BE">
    <w:pPr>
      <w:pStyle w:val="a5"/>
      <w:ind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62BE" w:rsidRDefault="00D562BE">
    <w:pPr>
      <w:pStyle w:val="a5"/>
      <w:ind w:firstLine="36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62BE" w:rsidRDefault="00D562BE">
    <w:pPr>
      <w:pStyle w:val="a5"/>
      <w:ind w:firstLine="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B739D1"/>
    <w:multiLevelType w:val="multilevel"/>
    <w:tmpl w:val="04B739D1"/>
    <w:lvl w:ilvl="0">
      <w:start w:val="1"/>
      <w:numFmt w:val="decimal"/>
      <w:pStyle w:val="1"/>
      <w:lvlText w:val="%1."/>
      <w:lvlJc w:val="left"/>
      <w:pPr>
        <w:ind w:left="425" w:hanging="425"/>
      </w:pPr>
      <w:rPr>
        <w:rFonts w:hint="default"/>
        <w:sz w:val="36"/>
        <w:szCs w:val="36"/>
      </w:rPr>
    </w:lvl>
    <w:lvl w:ilvl="1">
      <w:start w:val="1"/>
      <w:numFmt w:val="decimal"/>
      <w:pStyle w:val="2"/>
      <w:lvlText w:val="%1.%2."/>
      <w:lvlJc w:val="left"/>
      <w:pPr>
        <w:ind w:left="567" w:hanging="567"/>
      </w:pPr>
      <w:rPr>
        <w:rFonts w:hint="default"/>
      </w:rPr>
    </w:lvl>
    <w:lvl w:ilvl="2">
      <w:start w:val="1"/>
      <w:numFmt w:val="decimal"/>
      <w:pStyle w:val="3"/>
      <w:lvlText w:val="%1.%2.%3."/>
      <w:lvlJc w:val="left"/>
      <w:pPr>
        <w:ind w:left="709" w:hanging="709"/>
      </w:pPr>
      <w:rPr>
        <w:rFonts w:hint="default"/>
      </w:rPr>
    </w:lvl>
    <w:lvl w:ilvl="3">
      <w:start w:val="1"/>
      <w:numFmt w:val="decimal"/>
      <w:pStyle w:val="4"/>
      <w:lvlText w:val="%1.%2.%3.%4."/>
      <w:lvlJc w:val="left"/>
      <w:pPr>
        <w:ind w:left="850" w:hanging="850"/>
      </w:pPr>
      <w:rPr>
        <w:rFonts w:hint="default"/>
      </w:rPr>
    </w:lvl>
    <w:lvl w:ilvl="4">
      <w:start w:val="1"/>
      <w:numFmt w:val="decimal"/>
      <w:pStyle w:val="5"/>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abstractNum w:abstractNumId="1">
    <w:nsid w:val="26E96906"/>
    <w:multiLevelType w:val="multilevel"/>
    <w:tmpl w:val="26E96906"/>
    <w:lvl w:ilvl="0">
      <w:start w:val="1"/>
      <w:numFmt w:val="decimal"/>
      <w:lvlText w:val="%1"/>
      <w:lvlJc w:val="left"/>
      <w:pPr>
        <w:ind w:left="425" w:hanging="425"/>
      </w:pPr>
      <w:rPr>
        <w:rFonts w:hint="eastAsia"/>
      </w:rPr>
    </w:lvl>
    <w:lvl w:ilvl="1">
      <w:start w:val="1"/>
      <w:numFmt w:val="decimal"/>
      <w:suff w:val="space"/>
      <w:lvlText w:val="%1.%2"/>
      <w:lvlJc w:val="left"/>
      <w:pPr>
        <w:ind w:left="340" w:firstLine="170"/>
      </w:pPr>
      <w:rPr>
        <w:rFonts w:hint="eastAsia"/>
      </w:rPr>
    </w:lvl>
    <w:lvl w:ilvl="2">
      <w:start w:val="1"/>
      <w:numFmt w:val="decimal"/>
      <w:suff w:val="space"/>
      <w:lvlText w:val="%1.%2.%3"/>
      <w:lvlJc w:val="left"/>
      <w:pPr>
        <w:ind w:left="340" w:firstLine="340"/>
      </w:pPr>
      <w:rPr>
        <w:rFonts w:hint="eastAsia"/>
      </w:rPr>
    </w:lvl>
    <w:lvl w:ilvl="3">
      <w:start w:val="1"/>
      <w:numFmt w:val="decimal"/>
      <w:suff w:val="space"/>
      <w:lvlText w:val="%1.%2.%3.%4"/>
      <w:lvlJc w:val="left"/>
      <w:pPr>
        <w:ind w:left="510" w:firstLine="341"/>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noPunctuationKerning/>
  <w:characterSpacingControl w:val="compressPunctuation"/>
  <w:hdrShapeDefaults>
    <o:shapedefaults v:ext="edit" spidmax="3074"/>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
  <w:rsids>
    <w:rsidRoot w:val="00635672"/>
    <w:rsid w:val="00087DE8"/>
    <w:rsid w:val="000E695E"/>
    <w:rsid w:val="001C457D"/>
    <w:rsid w:val="00241FF6"/>
    <w:rsid w:val="00320D68"/>
    <w:rsid w:val="00363173"/>
    <w:rsid w:val="00434A7C"/>
    <w:rsid w:val="00437E58"/>
    <w:rsid w:val="0060799E"/>
    <w:rsid w:val="00635672"/>
    <w:rsid w:val="00666F32"/>
    <w:rsid w:val="009603FA"/>
    <w:rsid w:val="00B05B74"/>
    <w:rsid w:val="00B178AB"/>
    <w:rsid w:val="00BA5007"/>
    <w:rsid w:val="00C60541"/>
    <w:rsid w:val="00D562BE"/>
    <w:rsid w:val="00ED696E"/>
    <w:rsid w:val="00FB541F"/>
    <w:rsid w:val="00FE6B7E"/>
    <w:rsid w:val="00FF6AED"/>
    <w:rsid w:val="02D67796"/>
    <w:rsid w:val="05341DD6"/>
    <w:rsid w:val="08330B7F"/>
    <w:rsid w:val="0898134E"/>
    <w:rsid w:val="0B9335CE"/>
    <w:rsid w:val="0F7F7A53"/>
    <w:rsid w:val="1206649D"/>
    <w:rsid w:val="135D699C"/>
    <w:rsid w:val="15D171CD"/>
    <w:rsid w:val="17A42060"/>
    <w:rsid w:val="1C993F53"/>
    <w:rsid w:val="1CC7757C"/>
    <w:rsid w:val="1F2C1918"/>
    <w:rsid w:val="1FD224BF"/>
    <w:rsid w:val="24B14D99"/>
    <w:rsid w:val="24D20D65"/>
    <w:rsid w:val="28B5297E"/>
    <w:rsid w:val="2A9C5BA4"/>
    <w:rsid w:val="2BCD2F9D"/>
    <w:rsid w:val="30E12562"/>
    <w:rsid w:val="32B63A39"/>
    <w:rsid w:val="36B447CD"/>
    <w:rsid w:val="3EA177D5"/>
    <w:rsid w:val="41A03D74"/>
    <w:rsid w:val="436332AB"/>
    <w:rsid w:val="488E3813"/>
    <w:rsid w:val="49366D6C"/>
    <w:rsid w:val="4CA9348F"/>
    <w:rsid w:val="4DF96CE5"/>
    <w:rsid w:val="527F3531"/>
    <w:rsid w:val="58B2640F"/>
    <w:rsid w:val="58D46F8C"/>
    <w:rsid w:val="5A7D2A4C"/>
    <w:rsid w:val="5AF32D0E"/>
    <w:rsid w:val="660C45AF"/>
    <w:rsid w:val="6C88775B"/>
    <w:rsid w:val="7564688B"/>
    <w:rsid w:val="76D606DB"/>
    <w:rsid w:val="76EA1012"/>
    <w:rsid w:val="7CA9572A"/>
    <w:rsid w:val="7DEC38C1"/>
    <w:rsid w:val="7E6416A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unhideWhenUsed="1" w:qFormat="1"/>
    <w:lsdException w:name="heading 3" w:unhideWhenUsed="1" w:qFormat="1"/>
    <w:lsdException w:name="heading 4" w:unhideWhenUsed="1" w:qFormat="1"/>
    <w:lsdException w:name="heading 5"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uiPriority="99"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D562BE"/>
    <w:pPr>
      <w:widowControl w:val="0"/>
      <w:ind w:firstLineChars="200" w:firstLine="880"/>
      <w:jc w:val="both"/>
    </w:pPr>
    <w:rPr>
      <w:rFonts w:ascii="Calibri" w:eastAsia="微软雅黑" w:hAnsi="Calibri"/>
      <w:kern w:val="2"/>
      <w:sz w:val="28"/>
      <w:szCs w:val="24"/>
    </w:rPr>
  </w:style>
  <w:style w:type="paragraph" w:styleId="1">
    <w:name w:val="heading 1"/>
    <w:basedOn w:val="a"/>
    <w:next w:val="a"/>
    <w:qFormat/>
    <w:rsid w:val="00D562BE"/>
    <w:pPr>
      <w:keepNext/>
      <w:keepLines/>
      <w:numPr>
        <w:numId w:val="1"/>
      </w:numPr>
      <w:spacing w:after="90" w:line="360" w:lineRule="auto"/>
      <w:ind w:firstLineChars="0" w:firstLine="0"/>
      <w:outlineLvl w:val="0"/>
    </w:pPr>
    <w:rPr>
      <w:b/>
      <w:kern w:val="44"/>
      <w:sz w:val="36"/>
      <w:szCs w:val="36"/>
    </w:rPr>
  </w:style>
  <w:style w:type="paragraph" w:styleId="2">
    <w:name w:val="heading 2"/>
    <w:basedOn w:val="a"/>
    <w:next w:val="a0"/>
    <w:unhideWhenUsed/>
    <w:qFormat/>
    <w:rsid w:val="00D562BE"/>
    <w:pPr>
      <w:keepNext/>
      <w:keepLines/>
      <w:numPr>
        <w:ilvl w:val="1"/>
        <w:numId w:val="1"/>
      </w:numPr>
      <w:spacing w:before="260" w:after="260" w:line="413" w:lineRule="auto"/>
      <w:ind w:firstLineChars="0" w:firstLine="0"/>
      <w:outlineLvl w:val="1"/>
    </w:pPr>
    <w:rPr>
      <w:rFonts w:ascii="Arial" w:eastAsia="黑体" w:hAnsi="Arial"/>
      <w:b/>
      <w:sz w:val="32"/>
    </w:rPr>
  </w:style>
  <w:style w:type="paragraph" w:styleId="3">
    <w:name w:val="heading 3"/>
    <w:basedOn w:val="a"/>
    <w:next w:val="a"/>
    <w:unhideWhenUsed/>
    <w:qFormat/>
    <w:rsid w:val="00D562BE"/>
    <w:pPr>
      <w:keepNext/>
      <w:keepLines/>
      <w:numPr>
        <w:ilvl w:val="2"/>
        <w:numId w:val="1"/>
      </w:numPr>
      <w:spacing w:before="260" w:after="260" w:line="413" w:lineRule="auto"/>
      <w:ind w:firstLineChars="0" w:firstLine="0"/>
      <w:outlineLvl w:val="2"/>
    </w:pPr>
    <w:rPr>
      <w:rFonts w:ascii="宋体" w:eastAsia="宋体" w:hAnsi="宋体" w:cs="宋体"/>
      <w:b/>
      <w:sz w:val="32"/>
    </w:rPr>
  </w:style>
  <w:style w:type="paragraph" w:styleId="4">
    <w:name w:val="heading 4"/>
    <w:basedOn w:val="a"/>
    <w:next w:val="a"/>
    <w:unhideWhenUsed/>
    <w:qFormat/>
    <w:rsid w:val="00D562BE"/>
    <w:pPr>
      <w:keepNext/>
      <w:keepLines/>
      <w:numPr>
        <w:ilvl w:val="3"/>
        <w:numId w:val="1"/>
      </w:numPr>
      <w:spacing w:before="280" w:after="290" w:line="372" w:lineRule="auto"/>
      <w:ind w:firstLineChars="0" w:firstLine="0"/>
      <w:outlineLvl w:val="3"/>
    </w:pPr>
    <w:rPr>
      <w:rFonts w:ascii="Arial" w:eastAsia="黑体" w:hAnsi="Arial"/>
      <w:b/>
    </w:rPr>
  </w:style>
  <w:style w:type="paragraph" w:styleId="5">
    <w:name w:val="heading 5"/>
    <w:basedOn w:val="a"/>
    <w:next w:val="a"/>
    <w:unhideWhenUsed/>
    <w:qFormat/>
    <w:rsid w:val="00D562BE"/>
    <w:pPr>
      <w:keepNext/>
      <w:keepLines/>
      <w:numPr>
        <w:ilvl w:val="4"/>
        <w:numId w:val="1"/>
      </w:numPr>
      <w:spacing w:before="280" w:after="290" w:line="372" w:lineRule="auto"/>
      <w:ind w:firstLineChars="0" w:firstLine="0"/>
      <w:outlineLvl w:val="4"/>
    </w:pPr>
    <w:rPr>
      <w:b/>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uiPriority w:val="99"/>
    <w:unhideWhenUsed/>
    <w:qFormat/>
    <w:rsid w:val="00D562BE"/>
    <w:pPr>
      <w:ind w:firstLine="420"/>
    </w:pPr>
  </w:style>
  <w:style w:type="paragraph" w:styleId="a4">
    <w:name w:val="footer"/>
    <w:basedOn w:val="a"/>
    <w:qFormat/>
    <w:rsid w:val="00D562BE"/>
    <w:pPr>
      <w:tabs>
        <w:tab w:val="center" w:pos="4153"/>
        <w:tab w:val="right" w:pos="8306"/>
      </w:tabs>
      <w:snapToGrid w:val="0"/>
      <w:jc w:val="left"/>
    </w:pPr>
    <w:rPr>
      <w:sz w:val="18"/>
    </w:rPr>
  </w:style>
  <w:style w:type="paragraph" w:styleId="a5">
    <w:name w:val="header"/>
    <w:basedOn w:val="a"/>
    <w:qFormat/>
    <w:rsid w:val="00D562BE"/>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List Paragraph"/>
    <w:basedOn w:val="a"/>
    <w:uiPriority w:val="34"/>
    <w:qFormat/>
    <w:rsid w:val="00D562BE"/>
    <w:pPr>
      <w:ind w:firstLine="420"/>
    </w:pPr>
    <w:rPr>
      <w:szCs w:val="22"/>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WPS">
  <a:themeElements>
    <a:clrScheme name="WPS">
      <a:dk1>
        <a:sysClr val="windowText" lastClr="000000"/>
      </a:dk1>
      <a:lt1>
        <a:sysClr val="window" lastClr="CCE8C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221</Words>
  <Characters>1264</Characters>
  <Application>Microsoft Office Word</Application>
  <DocSecurity>0</DocSecurity>
  <Lines>10</Lines>
  <Paragraphs>2</Paragraphs>
  <ScaleCrop>false</ScaleCrop>
  <Company/>
  <LinksUpToDate>false</LinksUpToDate>
  <CharactersWithSpaces>1483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任强</cp:lastModifiedBy>
  <cp:revision>2</cp:revision>
  <dcterms:created xsi:type="dcterms:W3CDTF">2026-04-22T06:31:00Z</dcterms:created>
  <dcterms:modified xsi:type="dcterms:W3CDTF">2026-04-22T06:31:00Z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CA797ACDB5784E3C958008A702596D7C_12</vt:lpwstr>
  </property>
  <property fmtid="{D5CDD505-2E9C-101B-9397-08002B2CF9AE}" pid="4" name="KSOTemplateDocerSaveRecord">
    <vt:lpwstr>eyJoZGlkIjoiNmYwMjhiZjQ4NDQ1OTgzYTgzODhkOGI1MTQ3ZDIyZTIiLCJ1c2VySWQiOiIyNzY2NDA2NTQifQ==</vt:lpwstr>
  </property>
</Properties>
</file>